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ind w:left="0" w:right="0" w:firstLine="0"/>
        <w:jc w:val="center"/>
      </w:pPr>
      <w:r>
        <w:rPr>
          <w:rFonts w:ascii="PT Astra Serif" w:hAnsi="PT Astra Serif"/>
          <w:b/>
          <w:bCs/>
          <w:sz w:val="28"/>
          <w:szCs w:val="28"/>
        </w:rPr>
        <w:t xml:space="preserve">Порядок действий при гибели пчёл</w:t>
      </w:r>
      <w:r/>
      <w:r>
        <w:rPr>
          <w:rFonts w:ascii="PT Astra Serif" w:hAnsi="PT Astra Serif"/>
          <w:sz w:val="28"/>
          <w:szCs w:val="28"/>
        </w:rPr>
      </w:r>
      <w:r/>
      <w:r/>
    </w:p>
    <w:p>
      <w:pPr>
        <w:pStyle w:val="815"/>
        <w:ind w:left="0" w:right="0" w:firstLine="680"/>
        <w:jc w:val="both"/>
      </w:pPr>
      <w:r>
        <w:rPr>
          <w:rFonts w:ascii="PT Astra Serif" w:hAnsi="PT Astra Serif"/>
          <w:sz w:val="28"/>
          <w:szCs w:val="28"/>
        </w:rPr>
        <w:t xml:space="preserve">Каждая пасека должна быть зарегистрирована. У пчеловода должен быть паспорт пасеки, в котором каждый год ветеринарная служба делает отметки о количеств</w:t>
      </w:r>
      <w:r>
        <w:rPr>
          <w:rFonts w:ascii="PT Astra Serif" w:hAnsi="PT Astra Serif"/>
          <w:sz w:val="28"/>
          <w:szCs w:val="28"/>
        </w:rPr>
        <w:t xml:space="preserve">е пчелосемей и о проведённом осмотре. Туда же</w:t>
      </w:r>
      <w:r>
        <w:rPr>
          <w:rFonts w:ascii="PT Astra Serif" w:hAnsi="PT Astra Serif"/>
          <w:sz w:val="28"/>
          <w:szCs w:val="28"/>
        </w:rPr>
        <w:t xml:space="preserve"> заносят результаты анализов по заболеваниям пчёл, а также регистрация в похозяйственной книге. Всё это важно для последующих действий, если случилась беда, и пчёл потравили. Пчеловод должен иметь разрешение на расположение пасеки в определённом хозяйстве.</w:t>
      </w:r>
      <w:r/>
    </w:p>
    <w:p>
      <w:pPr>
        <w:pStyle w:val="815"/>
        <w:ind w:left="0" w:right="0" w:firstLine="680"/>
        <w:jc w:val="both"/>
      </w:pPr>
      <w:r>
        <w:rPr>
          <w:rFonts w:ascii="PT Astra Serif" w:hAnsi="PT Astra Serif"/>
          <w:sz w:val="28"/>
          <w:szCs w:val="28"/>
        </w:rPr>
        <w:t xml:space="preserve">Действия пчеловода определяются «Инструкцией по профилактике отравления пчёл пестицидами» от 14 июня 1989 года.</w:t>
      </w:r>
      <w:r/>
    </w:p>
    <w:p>
      <w:pPr>
        <w:pStyle w:val="815"/>
        <w:ind w:left="0" w:right="0" w:firstLine="680"/>
        <w:jc w:val="both"/>
      </w:pPr>
      <w:r>
        <w:rPr>
          <w:rFonts w:ascii="PT Astra Serif" w:hAnsi="PT Astra Serif"/>
          <w:sz w:val="28"/>
          <w:szCs w:val="28"/>
        </w:rPr>
        <w:t xml:space="preserve">Если пчеловод заметил, что началась гибель пчёл, то нужно как можно скорее принять меры и сделать всё юридически грамотно. Для этого необходимо оповестить ветеринарную службу и местную администрацию.</w:t>
      </w:r>
      <w:r/>
    </w:p>
    <w:p>
      <w:pPr>
        <w:pStyle w:val="815"/>
        <w:ind w:left="0" w:right="0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Обратиться в местную адм</w:t>
      </w:r>
      <w:r>
        <w:rPr>
          <w:rFonts w:ascii="PT Astra Serif" w:hAnsi="PT Astra Serif"/>
          <w:sz w:val="28"/>
          <w:szCs w:val="28"/>
        </w:rPr>
        <w:t xml:space="preserve">инистрацию и написать там официальный запрос с просьбой срочно создать комиссию для обследования пасеки. В комиссию должны входить ветеринарный врач районного центра ветеринарии и безопасности продовольствия, представитель администрации муниципального обра</w:t>
      </w:r>
      <w:r>
        <w:rPr>
          <w:rFonts w:ascii="PT Astra Serif" w:hAnsi="PT Astra Serif"/>
          <w:sz w:val="28"/>
          <w:szCs w:val="28"/>
        </w:rPr>
        <w:t xml:space="preserve">зования и сам пчеловод. </w:t>
      </w:r>
      <w:r/>
    </w:p>
    <w:p>
      <w:pPr>
        <w:ind w:left="0" w:right="0" w:firstLine="680"/>
        <w:jc w:val="both"/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  <w:t xml:space="preserve">Комиссия обследует пасеку и составляет акт, </w:t>
      </w:r>
      <w:r>
        <w:rPr>
          <w:rFonts w:ascii="PT Astra Serif" w:hAnsi="PT Astra Serif"/>
          <w:sz w:val="28"/>
          <w:szCs w:val="28"/>
        </w:rPr>
        <w:t xml:space="preserve">подтверждающий гибель пчёл, выясняет обстоятельства, почему это произошло, указывает предполагаемую причину, определяет размер ущерба, отбирает пробы материалов для отправки в лабораторию. В инструкции подробно расписано, как, сколько и что нужно отбирать.</w:t>
      </w:r>
      <w:r/>
    </w:p>
    <w:p>
      <w:pPr>
        <w:pStyle w:val="815"/>
        <w:ind w:left="0" w:right="0" w:firstLine="680"/>
        <w:jc w:val="both"/>
      </w:pPr>
      <w:r>
        <w:rPr>
          <w:rFonts w:ascii="PT Astra Serif" w:hAnsi="PT Astra Serif"/>
          <w:b/>
          <w:bCs/>
          <w:sz w:val="28"/>
          <w:szCs w:val="28"/>
        </w:rPr>
        <w:t xml:space="preserve">Документы для отбора и отправки проб:</w:t>
      </w:r>
      <w:r/>
    </w:p>
    <w:p>
      <w:pPr>
        <w:pStyle w:val="815"/>
        <w:ind w:left="0" w:right="0" w:firstLine="680"/>
        <w:jc w:val="both"/>
      </w:pPr>
      <w:r>
        <w:rPr>
          <w:rFonts w:ascii="PT Astra Serif" w:hAnsi="PT Astra Serif"/>
          <w:sz w:val="28"/>
          <w:szCs w:val="28"/>
        </w:rPr>
        <w:t xml:space="preserve">1) акт отбора проб;</w:t>
      </w:r>
      <w:r/>
    </w:p>
    <w:p>
      <w:pPr>
        <w:pStyle w:val="815"/>
        <w:ind w:left="0" w:right="0" w:firstLine="680"/>
        <w:jc w:val="both"/>
      </w:pPr>
      <w:r>
        <w:rPr>
          <w:rFonts w:ascii="PT Astra Serif" w:hAnsi="PT Astra Serif"/>
          <w:sz w:val="28"/>
          <w:szCs w:val="28"/>
        </w:rPr>
        <w:t xml:space="preserve">2) сопроводительное направление в лабораторию для исследования пат материала;</w:t>
      </w:r>
      <w:r/>
    </w:p>
    <w:p>
      <w:pPr>
        <w:pStyle w:val="815"/>
        <w:ind w:left="0" w:right="0" w:firstLine="680"/>
        <w:jc w:val="both"/>
      </w:pPr>
      <w:r>
        <w:rPr>
          <w:rFonts w:ascii="PT Astra Serif" w:hAnsi="PT Astra Serif"/>
          <w:sz w:val="28"/>
          <w:szCs w:val="28"/>
        </w:rPr>
        <w:t xml:space="preserve">3) пробы, отобранные и опечатанные согласно ветеринарно-санитарному паспорту пасеки.</w:t>
      </w:r>
      <w:r/>
    </w:p>
    <w:p>
      <w:pPr>
        <w:pStyle w:val="815"/>
        <w:ind w:left="0" w:right="0" w:firstLine="680"/>
        <w:jc w:val="both"/>
      </w:pPr>
      <w:r>
        <w:rPr>
          <w:rFonts w:ascii="PT Astra Serif" w:hAnsi="PT Astra Serif"/>
          <w:sz w:val="28"/>
          <w:szCs w:val="28"/>
        </w:rPr>
        <w:t xml:space="preserve">Обычно отбирают погибших пчёл, мёд и пергу. Обязательно отбирать зелёную массу с участка, который посе</w:t>
      </w:r>
      <w:r>
        <w:rPr>
          <w:rFonts w:ascii="PT Astra Serif" w:hAnsi="PT Astra Serif"/>
          <w:sz w:val="28"/>
          <w:szCs w:val="28"/>
        </w:rPr>
        <w:t xml:space="preserve">щали пчёлы. Пробы растений собирают согласно «Унифицированным правилам отбора проб сельскохозяйственной продукции, продуктов питания и объектов окружающей среды для определения микроколичества пестицидов» (утверждённые Минздравом СССР 21.08.1979</w:t>
        <w:br/>
        <w:t xml:space="preserve">№ 2051-79)</w:t>
      </w:r>
      <w:r/>
    </w:p>
    <w:p>
      <w:pPr>
        <w:pStyle w:val="815"/>
        <w:ind w:left="0" w:right="0" w:firstLine="680"/>
        <w:jc w:val="both"/>
      </w:pPr>
      <w:r>
        <w:rPr>
          <w:rFonts w:ascii="PT Astra Serif" w:hAnsi="PT Astra Serif"/>
          <w:sz w:val="28"/>
          <w:szCs w:val="28"/>
        </w:rPr>
        <w:t xml:space="preserve">Отобранный материал нео</w:t>
      </w:r>
      <w:r>
        <w:rPr>
          <w:rFonts w:ascii="PT Astra Serif" w:hAnsi="PT Astra Serif"/>
          <w:sz w:val="28"/>
          <w:szCs w:val="28"/>
        </w:rPr>
        <w:t xml:space="preserve">бходимо направить в центр ветеринарии</w:t>
        <w:br/>
        <w:t xml:space="preserve">и безопасности продовольствия по месту жительства (или ОГБУ Симбирский референтный центр ветеринарии и безопасности продовольствия —</w:t>
        <w:br/>
        <w:t xml:space="preserve">г. Ульяновск), а также при возможности параллельно направить в лабораторию</w:t>
        <w:br/>
        <w:t xml:space="preserve">г. Казань.</w:t>
      </w:r>
      <w:r/>
    </w:p>
    <w:p>
      <w:pPr>
        <w:pStyle w:val="815"/>
        <w:ind w:left="0" w:right="0" w:firstLine="680"/>
        <w:jc w:val="both"/>
      </w:pPr>
      <w:r>
        <w:rPr>
          <w:rFonts w:ascii="PT Astra Serif" w:hAnsi="PT Astra Serif"/>
          <w:sz w:val="28"/>
          <w:szCs w:val="28"/>
        </w:rPr>
        <w:t xml:space="preserve">Всё это нужно делать быстро, потому что яды м</w:t>
      </w:r>
      <w:r>
        <w:rPr>
          <w:rFonts w:ascii="PT Astra Serif" w:hAnsi="PT Astra Serif"/>
          <w:sz w:val="28"/>
          <w:szCs w:val="28"/>
        </w:rPr>
        <w:t xml:space="preserve">огут стремительно разлагаться. Отбор материала нужно сделать в день обнаружения массовой гибели пчёл, отправить в течение одних-двух суток в лабораторию, если это по каким-то причинам невозможно, то пробы помещают в холодильник, но не более чем на 7 суток.</w:t>
      </w:r>
      <w:r/>
    </w:p>
    <w:p>
      <w:pPr>
        <w:pStyle w:val="815"/>
        <w:ind w:left="0" w:right="0" w:firstLine="680"/>
        <w:jc w:val="both"/>
      </w:pPr>
      <w:r>
        <w:rPr>
          <w:rFonts w:ascii="PT Astra Serif" w:hAnsi="PT Astra Serif"/>
          <w:sz w:val="28"/>
          <w:szCs w:val="28"/>
        </w:rPr>
        <w:t xml:space="preserve">2. Н</w:t>
      </w:r>
      <w:r>
        <w:rPr>
          <w:rFonts w:ascii="PT Astra Serif" w:hAnsi="PT Astra Serif"/>
          <w:sz w:val="28"/>
          <w:szCs w:val="28"/>
        </w:rPr>
        <w:t xml:space="preserve">аписать официальные письменные заявления в ряд организаций, которые занимаются охраной здоровья людей и охраной окружающей среды. Это региональные управления Россельхознадзора, Роспотребнадзора, Росприродонадзора, Агентство ветеринарии Ульяновской области.</w:t>
      </w:r>
      <w:r/>
    </w:p>
    <w:p>
      <w:pPr>
        <w:pStyle w:val="815"/>
        <w:ind w:left="0" w:right="0" w:firstLine="680"/>
        <w:jc w:val="both"/>
      </w:pPr>
      <w:r>
        <w:rPr>
          <w:rFonts w:ascii="PT Astra Serif" w:hAnsi="PT Astra Serif"/>
          <w:sz w:val="28"/>
          <w:szCs w:val="28"/>
        </w:rPr>
        <w:t xml:space="preserve">3. Правильно рассчитать ущерб, нанесённый пасеке. Ко</w:t>
      </w:r>
      <w:r>
        <w:rPr>
          <w:rFonts w:ascii="PT Astra Serif" w:hAnsi="PT Astra Serif"/>
          <w:sz w:val="28"/>
          <w:szCs w:val="28"/>
        </w:rPr>
        <w:t xml:space="preserve">миссия при осмотре должна точно зафиксировать количество погибших семей, силу семьи, сколько на момент потравы было мёда в улье. Подробнее расписано в Инструкции по профилактике отравления пчёл пестицидами в п.5. Однако в нём указаны устаревшие цены, поэто</w:t>
      </w:r>
      <w:r>
        <w:rPr>
          <w:rFonts w:ascii="PT Astra Serif" w:hAnsi="PT Astra Serif"/>
          <w:sz w:val="28"/>
          <w:szCs w:val="28"/>
        </w:rPr>
        <w:t xml:space="preserve">му расчёт следует вести, ориентируясь на данные Росстата по региону (на сайте Росстата), можно брать данные по рыночной стоимости у фирм, занимающихся продажей мёда (рынках), или сделать запрос в торгово-промышленные палаты, Минсельхоз Ульяновской области.</w:t>
      </w:r>
      <w:r/>
    </w:p>
    <w:p>
      <w:pPr>
        <w:pStyle w:val="815"/>
        <w:ind w:left="0" w:right="0" w:firstLine="680"/>
        <w:jc w:val="both"/>
      </w:pPr>
      <w:r>
        <w:rPr>
          <w:rFonts w:ascii="PT Astra Serif" w:hAnsi="PT Astra Serif"/>
          <w:sz w:val="28"/>
          <w:szCs w:val="28"/>
        </w:rPr>
        <w:t xml:space="preserve">4. После получения лабораторных результатов обратиться в суд для взыскания материального ущерба и упущенной прибыли.</w:t>
      </w:r>
      <w:r/>
    </w:p>
    <w:p>
      <w:pPr>
        <w:pStyle w:val="815"/>
        <w:ind w:left="0" w:right="0" w:firstLine="68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консультации по юридическим вопросам необходимо обратиться к грамотному юристу, желательно уже имевшему опыт в ведении подобных дел. Также можно обратиться в </w:t>
      </w:r>
      <w:r>
        <w:rPr>
          <w:rFonts w:ascii="PT Astra Serif" w:hAnsi="PT Astra Serif"/>
          <w:sz w:val="28"/>
          <w:szCs w:val="28"/>
        </w:rPr>
        <w:t xml:space="preserve">Минсельхоз Ульяновской области (тел. 440691).</w:t>
      </w:r>
      <w:r/>
    </w:p>
    <w:sectPr>
      <w:footnotePr>
        <w:numRestart w:val="continuous"/>
      </w:footnotePr>
      <w:endnotePr/>
      <w:type w:val="nextPage"/>
      <w:pgSz w:w="11906" w:h="16838" w:orient="portrait"/>
      <w:pgMar w:top="1134" w:right="1134" w:bottom="1134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1">
      <w:start w:val="1"/>
      <w:numFmt w:val="decimal"/>
      <w:pStyle w:val="816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1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637">
    <w:name w:val="Heading 1"/>
    <w:basedOn w:val="815"/>
    <w:next w:val="815"/>
    <w:link w:val="63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8">
    <w:name w:val="Heading 1 Char"/>
    <w:link w:val="637"/>
    <w:uiPriority w:val="9"/>
    <w:rPr>
      <w:rFonts w:ascii="Arial" w:hAnsi="Arial" w:eastAsia="Arial" w:cs="Arial"/>
      <w:sz w:val="40"/>
      <w:szCs w:val="40"/>
    </w:rPr>
  </w:style>
  <w:style w:type="paragraph" w:styleId="639">
    <w:name w:val="Heading 2"/>
    <w:basedOn w:val="815"/>
    <w:next w:val="815"/>
    <w:link w:val="64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0">
    <w:name w:val="Heading 2 Char"/>
    <w:link w:val="639"/>
    <w:uiPriority w:val="9"/>
    <w:rPr>
      <w:rFonts w:ascii="Arial" w:hAnsi="Arial" w:eastAsia="Arial" w:cs="Arial"/>
      <w:sz w:val="34"/>
    </w:rPr>
  </w:style>
  <w:style w:type="paragraph" w:styleId="641">
    <w:name w:val="Heading 3"/>
    <w:basedOn w:val="815"/>
    <w:next w:val="815"/>
    <w:link w:val="6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2">
    <w:name w:val="Heading 3 Char"/>
    <w:link w:val="641"/>
    <w:uiPriority w:val="9"/>
    <w:rPr>
      <w:rFonts w:ascii="Arial" w:hAnsi="Arial" w:eastAsia="Arial" w:cs="Arial"/>
      <w:sz w:val="30"/>
      <w:szCs w:val="30"/>
    </w:rPr>
  </w:style>
  <w:style w:type="paragraph" w:styleId="643">
    <w:name w:val="Heading 4"/>
    <w:basedOn w:val="815"/>
    <w:next w:val="815"/>
    <w:link w:val="6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4">
    <w:name w:val="Heading 4 Char"/>
    <w:link w:val="643"/>
    <w:uiPriority w:val="9"/>
    <w:rPr>
      <w:rFonts w:ascii="Arial" w:hAnsi="Arial" w:eastAsia="Arial" w:cs="Arial"/>
      <w:b/>
      <w:bCs/>
      <w:sz w:val="26"/>
      <w:szCs w:val="26"/>
    </w:rPr>
  </w:style>
  <w:style w:type="paragraph" w:styleId="645">
    <w:name w:val="Heading 5"/>
    <w:basedOn w:val="815"/>
    <w:next w:val="815"/>
    <w:link w:val="6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6">
    <w:name w:val="Heading 5 Char"/>
    <w:link w:val="645"/>
    <w:uiPriority w:val="9"/>
    <w:rPr>
      <w:rFonts w:ascii="Arial" w:hAnsi="Arial" w:eastAsia="Arial" w:cs="Arial"/>
      <w:b/>
      <w:bCs/>
      <w:sz w:val="24"/>
      <w:szCs w:val="24"/>
    </w:rPr>
  </w:style>
  <w:style w:type="paragraph" w:styleId="647">
    <w:name w:val="Heading 6"/>
    <w:basedOn w:val="815"/>
    <w:next w:val="815"/>
    <w:link w:val="6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8">
    <w:name w:val="Heading 6 Char"/>
    <w:link w:val="647"/>
    <w:uiPriority w:val="9"/>
    <w:rPr>
      <w:rFonts w:ascii="Arial" w:hAnsi="Arial" w:eastAsia="Arial" w:cs="Arial"/>
      <w:b/>
      <w:bCs/>
      <w:sz w:val="22"/>
      <w:szCs w:val="22"/>
    </w:rPr>
  </w:style>
  <w:style w:type="paragraph" w:styleId="649">
    <w:name w:val="Heading 7"/>
    <w:basedOn w:val="815"/>
    <w:next w:val="815"/>
    <w:link w:val="6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0">
    <w:name w:val="Heading 7 Char"/>
    <w:link w:val="6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1">
    <w:name w:val="Heading 8"/>
    <w:basedOn w:val="815"/>
    <w:next w:val="815"/>
    <w:link w:val="6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2">
    <w:name w:val="Heading 8 Char"/>
    <w:link w:val="651"/>
    <w:uiPriority w:val="9"/>
    <w:rPr>
      <w:rFonts w:ascii="Arial" w:hAnsi="Arial" w:eastAsia="Arial" w:cs="Arial"/>
      <w:i/>
      <w:iCs/>
      <w:sz w:val="22"/>
      <w:szCs w:val="22"/>
    </w:rPr>
  </w:style>
  <w:style w:type="paragraph" w:styleId="653">
    <w:name w:val="Heading 9"/>
    <w:basedOn w:val="815"/>
    <w:next w:val="815"/>
    <w:link w:val="6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4">
    <w:name w:val="Heading 9 Char"/>
    <w:link w:val="653"/>
    <w:uiPriority w:val="9"/>
    <w:rPr>
      <w:rFonts w:ascii="Arial" w:hAnsi="Arial" w:eastAsia="Arial" w:cs="Arial"/>
      <w:i/>
      <w:iCs/>
      <w:sz w:val="21"/>
      <w:szCs w:val="21"/>
    </w:rPr>
  </w:style>
  <w:style w:type="paragraph" w:styleId="655">
    <w:name w:val="List Paragraph"/>
    <w:basedOn w:val="815"/>
    <w:uiPriority w:val="34"/>
    <w:qFormat/>
    <w:pPr>
      <w:contextualSpacing/>
      <w:ind w:left="720"/>
    </w:p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5"/>
    <w:next w:val="815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link w:val="667"/>
    <w:uiPriority w:val="99"/>
  </w:style>
  <w:style w:type="paragraph" w:styleId="669">
    <w:name w:val="Caption"/>
    <w:basedOn w:val="815"/>
    <w:next w:val="8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77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778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779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780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781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782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783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84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785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786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787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788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789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790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5" w:default="1">
    <w:name w:val="Normal"/>
    <w:next w:val="815"/>
    <w:link w:val="815"/>
    <w:pPr>
      <w:widowControl/>
    </w:pPr>
    <w:rPr>
      <w:rFonts w:ascii="PT Astra Serif" w:hAnsi="PT Astra Serif" w:eastAsia="Tahoma"/>
      <w:color w:val="auto"/>
      <w:sz w:val="24"/>
      <w:szCs w:val="24"/>
      <w:lang w:val="ru-RU" w:eastAsia="zh-CN" w:bidi="hi-IN"/>
    </w:rPr>
  </w:style>
  <w:style w:type="paragraph" w:styleId="816">
    <w:name w:val="Заголовок 2"/>
    <w:basedOn w:val="826"/>
    <w:next w:val="827"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Tahoma"/>
      <w:b/>
      <w:bCs/>
      <w:sz w:val="36"/>
      <w:szCs w:val="36"/>
    </w:rPr>
  </w:style>
  <w:style w:type="character" w:styleId="817">
    <w:name w:val="WW8Num1z0"/>
    <w:next w:val="817"/>
  </w:style>
  <w:style w:type="character" w:styleId="818">
    <w:name w:val="WW8Num1z1"/>
    <w:next w:val="818"/>
  </w:style>
  <w:style w:type="character" w:styleId="819">
    <w:name w:val="WW8Num1z2"/>
    <w:next w:val="819"/>
    <w:link w:val="815"/>
  </w:style>
  <w:style w:type="character" w:styleId="820">
    <w:name w:val="WW8Num1z3"/>
    <w:next w:val="820"/>
  </w:style>
  <w:style w:type="character" w:styleId="821">
    <w:name w:val="WW8Num1z4"/>
    <w:next w:val="821"/>
  </w:style>
  <w:style w:type="character" w:styleId="822">
    <w:name w:val="WW8Num1z5"/>
    <w:next w:val="822"/>
  </w:style>
  <w:style w:type="character" w:styleId="823">
    <w:name w:val="WW8Num1z6"/>
    <w:next w:val="823"/>
  </w:style>
  <w:style w:type="character" w:styleId="824">
    <w:name w:val="WW8Num1z7"/>
    <w:next w:val="824"/>
  </w:style>
  <w:style w:type="character" w:styleId="825">
    <w:name w:val="WW8Num1z8"/>
    <w:next w:val="825"/>
  </w:style>
  <w:style w:type="paragraph" w:styleId="826">
    <w:name w:val="Заголовок"/>
    <w:basedOn w:val="815"/>
    <w:next w:val="827"/>
    <w:pPr>
      <w:keepNext/>
      <w:spacing w:before="240" w:after="120"/>
    </w:pPr>
    <w:rPr>
      <w:rFonts w:ascii="PT Astra Serif" w:hAnsi="PT Astra Serif" w:eastAsia="Tahoma"/>
      <w:sz w:val="28"/>
      <w:szCs w:val="28"/>
    </w:rPr>
  </w:style>
  <w:style w:type="paragraph" w:styleId="827">
    <w:name w:val="Основной текст"/>
    <w:basedOn w:val="815"/>
    <w:next w:val="827"/>
    <w:pPr>
      <w:spacing w:before="0" w:after="140" w:line="276" w:lineRule="auto"/>
    </w:pPr>
  </w:style>
  <w:style w:type="paragraph" w:styleId="828">
    <w:name w:val="Список"/>
    <w:basedOn w:val="827"/>
    <w:next w:val="828"/>
    <w:rPr>
      <w:rFonts w:ascii="PT Astra Serif" w:hAnsi="PT Astra Serif"/>
    </w:rPr>
  </w:style>
  <w:style w:type="paragraph" w:styleId="829">
    <w:name w:val="Название"/>
    <w:basedOn w:val="815"/>
    <w:next w:val="829"/>
    <w:pPr>
      <w:spacing w:before="120" w:after="120"/>
      <w:suppressLineNumbers/>
    </w:pPr>
    <w:rPr>
      <w:rFonts w:ascii="PT Astra Serif" w:hAnsi="PT Astra Serif"/>
      <w:i/>
      <w:iCs/>
      <w:sz w:val="24"/>
      <w:szCs w:val="24"/>
    </w:rPr>
  </w:style>
  <w:style w:type="paragraph" w:styleId="830">
    <w:name w:val="Указатель"/>
    <w:basedOn w:val="815"/>
    <w:next w:val="830"/>
    <w:pPr>
      <w:suppressLineNumbers/>
    </w:pPr>
    <w:rPr>
      <w:rFonts w:ascii="PT Astra Serif" w:hAnsi="PT Astra Serif"/>
    </w:rPr>
  </w:style>
  <w:style w:type="character" w:styleId="831" w:default="1">
    <w:name w:val="Default Paragraph Font"/>
    <w:uiPriority w:val="1"/>
    <w:semiHidden/>
    <w:unhideWhenUsed/>
  </w:style>
  <w:style w:type="numbering" w:styleId="83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2023-07-10T04:06:34Z</dcterms:modified>
</cp:coreProperties>
</file>